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4F69CA1E"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055734">
              <w:rPr>
                <w:b/>
                <w:sz w:val="28"/>
                <w:szCs w:val="28"/>
              </w:rPr>
              <w:t>FRIENDSHIP COUNTRY ESTATES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17F060DA"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055734">
              <w:rPr>
                <w:b/>
                <w:sz w:val="24"/>
              </w:rPr>
              <w:t>11 Pennsylvania Avenue</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055734">
              <w:rPr>
                <w:b/>
                <w:sz w:val="24"/>
              </w:rPr>
              <w:t>Friendship, NY 14739</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1371C326"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055734">
              <w:rPr>
                <w:sz w:val="24"/>
              </w:rPr>
              <w:t>(585) 973-2214</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055734">
              <w:rPr>
                <w:sz w:val="24"/>
              </w:rPr>
              <w:t>Friendship, NY 14739</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Friendship, NY 14739"/>
    <w:docVar w:name="Address_Line_One" w:val="11 Pennsylvania Avenue"/>
    <w:docVar w:name="Community_Manager" w:val="Krista Sherwood"/>
    <w:docVar w:name="Fax" w:val="(585) 973-2215"/>
    <w:docVar w:name="Phone" w:val="(585) 973-2214"/>
    <w:docVar w:name="Properties" w:val="Friendship Country Estate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10985"/>
    <w:rsid w:val="00B1548E"/>
    <w:rsid w:val="00B17F3F"/>
    <w:rsid w:val="00B30307"/>
    <w:rsid w:val="00B4137F"/>
    <w:rsid w:val="00B41ACE"/>
    <w:rsid w:val="00B442A7"/>
    <w:rsid w:val="00B50315"/>
    <w:rsid w:val="00B91FB1"/>
    <w:rsid w:val="00B92E44"/>
    <w:rsid w:val="00B937A4"/>
    <w:rsid w:val="00BA1E22"/>
    <w:rsid w:val="00BA20F7"/>
    <w:rsid w:val="00BA4657"/>
    <w:rsid w:val="00BA6636"/>
    <w:rsid w:val="00BB2E1B"/>
    <w:rsid w:val="00BC3DF3"/>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7417</Words>
  <Characters>42281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49599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